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3FC8" w14:textId="6E124170" w:rsidR="009A2B51" w:rsidRDefault="009A2B51" w:rsidP="003940DB">
      <w:pPr>
        <w:pStyle w:val="NoSpacing"/>
        <w:jc w:val="center"/>
      </w:pPr>
    </w:p>
    <w:p w14:paraId="43876F3E" w14:textId="77777777" w:rsidR="009A2B51" w:rsidRDefault="009A2B51" w:rsidP="003940DB">
      <w:pPr>
        <w:pStyle w:val="NoSpacing"/>
        <w:jc w:val="center"/>
      </w:pPr>
    </w:p>
    <w:p w14:paraId="0E8D7F0C" w14:textId="75819D0D" w:rsidR="009A2B51" w:rsidRDefault="001747A5" w:rsidP="001747A5">
      <w:pPr>
        <w:pStyle w:val="NoSpacing"/>
        <w:ind w:left="-426" w:firstLine="284"/>
        <w:jc w:val="center"/>
      </w:pPr>
      <w:r>
        <w:rPr>
          <w:noProof/>
        </w:rPr>
        <w:drawing>
          <wp:inline distT="0" distB="0" distL="0" distR="0" wp14:anchorId="0872EE24" wp14:editId="7EFBAA64">
            <wp:extent cx="6339205" cy="1255364"/>
            <wp:effectExtent l="0" t="0" r="4445" b="2540"/>
            <wp:docPr id="4" name="Picture 2" descr="A field with wind turb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field with wind turb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762" cy="129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FF45D" w14:textId="77777777" w:rsidR="009A2B51" w:rsidRDefault="009A2B51" w:rsidP="003940DB">
      <w:pPr>
        <w:pStyle w:val="NoSpacing"/>
        <w:jc w:val="center"/>
      </w:pPr>
    </w:p>
    <w:p w14:paraId="2D3287FA" w14:textId="77777777" w:rsidR="009A2B51" w:rsidRDefault="009A2B51" w:rsidP="003940DB">
      <w:pPr>
        <w:pStyle w:val="NoSpacing"/>
        <w:jc w:val="center"/>
      </w:pPr>
    </w:p>
    <w:p w14:paraId="731AE850" w14:textId="77777777" w:rsidR="009A2B51" w:rsidRDefault="009A2B51" w:rsidP="003940DB">
      <w:pPr>
        <w:pStyle w:val="NoSpacing"/>
        <w:jc w:val="center"/>
      </w:pPr>
    </w:p>
    <w:p w14:paraId="7A9A7C0E" w14:textId="77777777" w:rsidR="009A2B51" w:rsidRDefault="009A2B51" w:rsidP="003940DB">
      <w:pPr>
        <w:pStyle w:val="NoSpacing"/>
        <w:jc w:val="center"/>
      </w:pPr>
    </w:p>
    <w:p w14:paraId="018EC028" w14:textId="77777777" w:rsidR="009A2B51" w:rsidRDefault="009A2B51" w:rsidP="003940DB">
      <w:pPr>
        <w:pStyle w:val="NoSpacing"/>
        <w:jc w:val="center"/>
      </w:pPr>
    </w:p>
    <w:p w14:paraId="7AACC27A" w14:textId="77777777" w:rsidR="009A2B51" w:rsidRDefault="009A2B51" w:rsidP="003940DB">
      <w:pPr>
        <w:pStyle w:val="NoSpacing"/>
        <w:jc w:val="center"/>
      </w:pPr>
    </w:p>
    <w:p w14:paraId="7D654B89" w14:textId="2FE0ECF8" w:rsidR="003940DB" w:rsidRPr="009A2B51" w:rsidRDefault="003940DB" w:rsidP="003940DB">
      <w:pPr>
        <w:pStyle w:val="NoSpacing"/>
        <w:jc w:val="center"/>
        <w:rPr>
          <w:sz w:val="52"/>
          <w:szCs w:val="52"/>
        </w:rPr>
      </w:pPr>
      <w:r w:rsidRPr="009A2B51">
        <w:rPr>
          <w:sz w:val="52"/>
          <w:szCs w:val="52"/>
        </w:rPr>
        <w:t>The Constitution of the</w:t>
      </w:r>
    </w:p>
    <w:p w14:paraId="021C6CDE" w14:textId="2B58046E" w:rsidR="003940DB" w:rsidRPr="009A2B51" w:rsidRDefault="003940DB" w:rsidP="003940DB">
      <w:pPr>
        <w:pStyle w:val="NoSpacing"/>
        <w:jc w:val="center"/>
        <w:rPr>
          <w:sz w:val="52"/>
          <w:szCs w:val="52"/>
        </w:rPr>
      </w:pPr>
      <w:r w:rsidRPr="009A2B51">
        <w:rPr>
          <w:sz w:val="52"/>
          <w:szCs w:val="52"/>
        </w:rPr>
        <w:t>Saltfleetby</w:t>
      </w:r>
      <w:r w:rsidR="001F520A" w:rsidRPr="009A2B51">
        <w:rPr>
          <w:sz w:val="52"/>
          <w:szCs w:val="52"/>
        </w:rPr>
        <w:t xml:space="preserve"> Windfarm Committee</w:t>
      </w:r>
    </w:p>
    <w:p w14:paraId="2082451A" w14:textId="77777777" w:rsidR="003940DB" w:rsidRDefault="003940DB" w:rsidP="006A4471">
      <w:pPr>
        <w:pStyle w:val="NoSpacing"/>
        <w:jc w:val="center"/>
      </w:pPr>
    </w:p>
    <w:p w14:paraId="270C5258" w14:textId="77777777" w:rsidR="006A4471" w:rsidRDefault="006A4471" w:rsidP="006A4471">
      <w:pPr>
        <w:pStyle w:val="NoSpacing"/>
        <w:jc w:val="center"/>
      </w:pPr>
    </w:p>
    <w:p w14:paraId="3C7BC86B" w14:textId="77777777" w:rsidR="006A4471" w:rsidRDefault="006A4471" w:rsidP="006A4471">
      <w:pPr>
        <w:pStyle w:val="NoSpacing"/>
        <w:jc w:val="center"/>
      </w:pPr>
    </w:p>
    <w:p w14:paraId="57F003EF" w14:textId="77777777" w:rsidR="006A4471" w:rsidRDefault="006A4471" w:rsidP="006A4471">
      <w:pPr>
        <w:pStyle w:val="NoSpacing"/>
        <w:jc w:val="center"/>
      </w:pPr>
    </w:p>
    <w:p w14:paraId="48DF7A10" w14:textId="0E55B152" w:rsidR="00671244" w:rsidRDefault="00671244" w:rsidP="004402BF">
      <w:pPr>
        <w:pStyle w:val="NoSpacing"/>
        <w:jc w:val="center"/>
      </w:pPr>
      <w:r>
        <w:t>Document History Sheet</w:t>
      </w:r>
    </w:p>
    <w:p w14:paraId="47CC7999" w14:textId="77777777" w:rsidR="004402BF" w:rsidRDefault="004402BF" w:rsidP="004402B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492"/>
      </w:tblGrid>
      <w:tr w:rsidR="004402BF" w14:paraId="44721BD6" w14:textId="77777777" w:rsidTr="004402BF">
        <w:tc>
          <w:tcPr>
            <w:tcW w:w="1980" w:type="dxa"/>
          </w:tcPr>
          <w:p w14:paraId="48F4830B" w14:textId="77777777" w:rsidR="004402BF" w:rsidRDefault="004402BF" w:rsidP="004402BF">
            <w:pPr>
              <w:pStyle w:val="NoSpacing"/>
              <w:jc w:val="center"/>
            </w:pPr>
          </w:p>
          <w:p w14:paraId="431F0C39" w14:textId="77777777" w:rsidR="004402BF" w:rsidRDefault="004402BF" w:rsidP="004402BF">
            <w:pPr>
              <w:pStyle w:val="NoSpacing"/>
              <w:jc w:val="center"/>
            </w:pPr>
            <w:r>
              <w:t>Date</w:t>
            </w:r>
          </w:p>
          <w:p w14:paraId="6227BDA0" w14:textId="014226BE" w:rsidR="004402BF" w:rsidRDefault="004402BF" w:rsidP="004402BF">
            <w:pPr>
              <w:pStyle w:val="NoSpacing"/>
              <w:jc w:val="center"/>
            </w:pPr>
          </w:p>
        </w:tc>
        <w:tc>
          <w:tcPr>
            <w:tcW w:w="3544" w:type="dxa"/>
          </w:tcPr>
          <w:p w14:paraId="33F855A4" w14:textId="77777777" w:rsidR="004402BF" w:rsidRDefault="004402BF" w:rsidP="004402BF">
            <w:pPr>
              <w:pStyle w:val="NoSpacing"/>
              <w:jc w:val="center"/>
            </w:pPr>
          </w:p>
          <w:p w14:paraId="29A2959E" w14:textId="6BCB4893" w:rsidR="004402BF" w:rsidRDefault="004402BF" w:rsidP="004402BF">
            <w:pPr>
              <w:pStyle w:val="NoSpacing"/>
              <w:jc w:val="center"/>
            </w:pPr>
            <w:r>
              <w:t>Details</w:t>
            </w:r>
          </w:p>
        </w:tc>
        <w:tc>
          <w:tcPr>
            <w:tcW w:w="3492" w:type="dxa"/>
          </w:tcPr>
          <w:p w14:paraId="17BC89B8" w14:textId="77777777" w:rsidR="004402BF" w:rsidRDefault="004402BF" w:rsidP="004402BF">
            <w:pPr>
              <w:pStyle w:val="NoSpacing"/>
              <w:jc w:val="center"/>
            </w:pPr>
          </w:p>
          <w:p w14:paraId="5D5296DA" w14:textId="47391720" w:rsidR="004402BF" w:rsidRDefault="004402BF" w:rsidP="004402BF">
            <w:pPr>
              <w:pStyle w:val="NoSpacing"/>
              <w:jc w:val="center"/>
            </w:pPr>
            <w:r>
              <w:t>Authority</w:t>
            </w:r>
          </w:p>
        </w:tc>
      </w:tr>
      <w:tr w:rsidR="004402BF" w14:paraId="3037DF2F" w14:textId="77777777" w:rsidTr="004402BF">
        <w:tc>
          <w:tcPr>
            <w:tcW w:w="1980" w:type="dxa"/>
          </w:tcPr>
          <w:p w14:paraId="68A2B722" w14:textId="670FA802" w:rsidR="004402BF" w:rsidRDefault="00A85C77" w:rsidP="004402BF">
            <w:pPr>
              <w:pStyle w:val="NoSpacing"/>
              <w:jc w:val="center"/>
            </w:pPr>
            <w:r>
              <w:t>7</w:t>
            </w:r>
            <w:r w:rsidRPr="00A85C77">
              <w:rPr>
                <w:vertAlign w:val="superscript"/>
              </w:rPr>
              <w:t>th</w:t>
            </w:r>
            <w:r>
              <w:t xml:space="preserve"> July 2025</w:t>
            </w:r>
          </w:p>
        </w:tc>
        <w:tc>
          <w:tcPr>
            <w:tcW w:w="3544" w:type="dxa"/>
          </w:tcPr>
          <w:p w14:paraId="45587DC0" w14:textId="33366EE5" w:rsidR="004402BF" w:rsidRDefault="00A85C77" w:rsidP="004402BF">
            <w:pPr>
              <w:pStyle w:val="NoSpacing"/>
              <w:jc w:val="center"/>
            </w:pPr>
            <w:r>
              <w:t>First Draft</w:t>
            </w:r>
          </w:p>
        </w:tc>
        <w:tc>
          <w:tcPr>
            <w:tcW w:w="3492" w:type="dxa"/>
          </w:tcPr>
          <w:p w14:paraId="6EDD05E4" w14:textId="5936486D" w:rsidR="004402BF" w:rsidRDefault="009C2894" w:rsidP="004402BF">
            <w:pPr>
              <w:pStyle w:val="NoSpacing"/>
              <w:jc w:val="center"/>
            </w:pPr>
            <w:r>
              <w:t>Approved 2</w:t>
            </w:r>
            <w:r w:rsidRPr="009C2894">
              <w:rPr>
                <w:vertAlign w:val="superscript"/>
              </w:rPr>
              <w:t>nd</w:t>
            </w:r>
            <w:r>
              <w:t xml:space="preserve"> Dec 2025</w:t>
            </w:r>
          </w:p>
        </w:tc>
      </w:tr>
    </w:tbl>
    <w:p w14:paraId="6571AB48" w14:textId="77777777" w:rsidR="004402BF" w:rsidRDefault="004402BF" w:rsidP="004402BF">
      <w:pPr>
        <w:pStyle w:val="NoSpacing"/>
        <w:jc w:val="center"/>
      </w:pPr>
    </w:p>
    <w:p w14:paraId="6C3F5499" w14:textId="549D64E5" w:rsidR="00671244" w:rsidRDefault="00671244">
      <w:r>
        <w:br w:type="page"/>
      </w:r>
    </w:p>
    <w:p w14:paraId="35349403" w14:textId="77777777" w:rsidR="00671244" w:rsidRPr="009C2894" w:rsidRDefault="00671244">
      <w:pPr>
        <w:rPr>
          <w:sz w:val="32"/>
          <w:szCs w:val="32"/>
        </w:rPr>
      </w:pPr>
    </w:p>
    <w:p w14:paraId="6936EB64" w14:textId="0719F8C9" w:rsidR="003940DB" w:rsidRPr="009C2894" w:rsidRDefault="003940DB" w:rsidP="004402BF">
      <w:pPr>
        <w:pStyle w:val="NoSpacing"/>
        <w:jc w:val="center"/>
        <w:rPr>
          <w:sz w:val="32"/>
          <w:szCs w:val="32"/>
        </w:rPr>
      </w:pPr>
      <w:r w:rsidRPr="009C2894">
        <w:rPr>
          <w:sz w:val="32"/>
          <w:szCs w:val="32"/>
        </w:rPr>
        <w:t>Contents</w:t>
      </w:r>
    </w:p>
    <w:p w14:paraId="4FF31F31" w14:textId="77777777" w:rsidR="004402BF" w:rsidRPr="009C2894" w:rsidRDefault="004402BF" w:rsidP="004402BF">
      <w:pPr>
        <w:pStyle w:val="NoSpacing"/>
        <w:jc w:val="center"/>
        <w:rPr>
          <w:sz w:val="32"/>
          <w:szCs w:val="32"/>
        </w:rPr>
      </w:pPr>
    </w:p>
    <w:p w14:paraId="58F721AD" w14:textId="392CE9AE" w:rsidR="004402BF" w:rsidRPr="009C2894" w:rsidRDefault="004402BF" w:rsidP="004402BF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Heading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  <w:t>Page Number</w:t>
      </w:r>
    </w:p>
    <w:p w14:paraId="1FB7B048" w14:textId="77777777" w:rsidR="004402BF" w:rsidRPr="009C2894" w:rsidRDefault="004402BF" w:rsidP="004402BF">
      <w:pPr>
        <w:pStyle w:val="NoSpacing"/>
        <w:rPr>
          <w:sz w:val="32"/>
          <w:szCs w:val="32"/>
        </w:rPr>
      </w:pPr>
    </w:p>
    <w:p w14:paraId="442828BB" w14:textId="4BF89BC4" w:rsidR="004402BF" w:rsidRPr="009C2894" w:rsidRDefault="005167A4" w:rsidP="004402BF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1. Name of Organisation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="00043E25">
        <w:rPr>
          <w:sz w:val="32"/>
          <w:szCs w:val="32"/>
        </w:rPr>
        <w:t>3</w:t>
      </w:r>
    </w:p>
    <w:p w14:paraId="5658E431" w14:textId="12FD655D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2. Aims of the Saltfleetby Windfarm Committee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="00043E25">
        <w:rPr>
          <w:sz w:val="32"/>
          <w:szCs w:val="32"/>
        </w:rPr>
        <w:t>3</w:t>
      </w:r>
    </w:p>
    <w:p w14:paraId="3EF09F81" w14:textId="3DD7B2E5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3. Committee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="00043E25">
        <w:rPr>
          <w:sz w:val="32"/>
          <w:szCs w:val="32"/>
        </w:rPr>
        <w:t>3</w:t>
      </w:r>
    </w:p>
    <w:p w14:paraId="2F7DC024" w14:textId="15FC2248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4. Annual General Meeting and Management Committee Meetings</w:t>
      </w:r>
      <w:r w:rsidR="00BA54AF">
        <w:rPr>
          <w:sz w:val="32"/>
          <w:szCs w:val="32"/>
        </w:rPr>
        <w:t xml:space="preserve"> </w:t>
      </w:r>
      <w:r w:rsidR="00043E25">
        <w:rPr>
          <w:sz w:val="32"/>
          <w:szCs w:val="32"/>
        </w:rPr>
        <w:t>3</w:t>
      </w:r>
    </w:p>
    <w:p w14:paraId="7184EF1D" w14:textId="3488BC52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5. Rules of Procedure at Meetings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="00BA54AF">
        <w:rPr>
          <w:sz w:val="32"/>
          <w:szCs w:val="32"/>
        </w:rPr>
        <w:t>3</w:t>
      </w:r>
    </w:p>
    <w:p w14:paraId="79E50F8E" w14:textId="208FB3FA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6. Finances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="00BA54AF">
        <w:rPr>
          <w:sz w:val="32"/>
          <w:szCs w:val="32"/>
        </w:rPr>
        <w:t>4</w:t>
      </w:r>
    </w:p>
    <w:p w14:paraId="1262BF4A" w14:textId="13B737BD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7. Changes to the Constitution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  <w:t>5</w:t>
      </w:r>
    </w:p>
    <w:p w14:paraId="6650322B" w14:textId="351B1B28" w:rsidR="005167A4" w:rsidRPr="009C2894" w:rsidRDefault="005167A4" w:rsidP="005167A4">
      <w:pPr>
        <w:pStyle w:val="NoSpacing"/>
        <w:rPr>
          <w:sz w:val="32"/>
          <w:szCs w:val="32"/>
        </w:rPr>
      </w:pPr>
      <w:r w:rsidRPr="009C2894">
        <w:rPr>
          <w:sz w:val="32"/>
          <w:szCs w:val="32"/>
        </w:rPr>
        <w:t>8. Dissolution</w:t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</w:r>
      <w:r w:rsidRPr="009C2894">
        <w:rPr>
          <w:sz w:val="32"/>
          <w:szCs w:val="32"/>
        </w:rPr>
        <w:tab/>
        <w:t>5</w:t>
      </w:r>
    </w:p>
    <w:p w14:paraId="58B6DD59" w14:textId="77777777" w:rsidR="005167A4" w:rsidRPr="009C2894" w:rsidRDefault="005167A4" w:rsidP="005167A4">
      <w:pPr>
        <w:pStyle w:val="NoSpacing"/>
        <w:rPr>
          <w:sz w:val="32"/>
          <w:szCs w:val="32"/>
        </w:rPr>
      </w:pPr>
    </w:p>
    <w:p w14:paraId="1F247B7B" w14:textId="77777777" w:rsidR="004402BF" w:rsidRDefault="004402BF" w:rsidP="004402BF">
      <w:pPr>
        <w:pStyle w:val="NoSpacing"/>
        <w:jc w:val="center"/>
      </w:pPr>
    </w:p>
    <w:p w14:paraId="3CA55AC6" w14:textId="2E982BA2" w:rsidR="004402BF" w:rsidRDefault="004402BF">
      <w:r>
        <w:br w:type="page"/>
      </w:r>
    </w:p>
    <w:p w14:paraId="339DC415" w14:textId="7E179187" w:rsidR="003940DB" w:rsidRPr="009C2894" w:rsidRDefault="003940DB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lastRenderedPageBreak/>
        <w:t>1. Name of the Organisation</w:t>
      </w:r>
    </w:p>
    <w:p w14:paraId="4C5C4C7D" w14:textId="77777777" w:rsidR="003940DB" w:rsidRPr="009C2894" w:rsidRDefault="003940DB" w:rsidP="00A82300">
      <w:pPr>
        <w:pStyle w:val="NoSpacing"/>
        <w:rPr>
          <w:sz w:val="28"/>
          <w:szCs w:val="28"/>
        </w:rPr>
      </w:pPr>
    </w:p>
    <w:p w14:paraId="750735FA" w14:textId="5AE96214" w:rsidR="003940DB" w:rsidRPr="009C2894" w:rsidRDefault="003940DB" w:rsidP="00A82300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This document co</w:t>
      </w:r>
      <w:r w:rsidR="000A10D8" w:rsidRPr="009C2894">
        <w:rPr>
          <w:sz w:val="28"/>
          <w:szCs w:val="28"/>
        </w:rPr>
        <w:t>mprises</w:t>
      </w:r>
      <w:r w:rsidRPr="009C2894">
        <w:rPr>
          <w:sz w:val="28"/>
          <w:szCs w:val="28"/>
        </w:rPr>
        <w:t xml:space="preserve"> the Constitution of the Saltfleetby</w:t>
      </w:r>
      <w:r w:rsidR="001F520A" w:rsidRPr="009C2894">
        <w:rPr>
          <w:sz w:val="28"/>
          <w:szCs w:val="28"/>
        </w:rPr>
        <w:t xml:space="preserve"> Windfarm Committee</w:t>
      </w:r>
      <w:r w:rsidR="004B6701" w:rsidRPr="009C2894">
        <w:rPr>
          <w:sz w:val="28"/>
          <w:szCs w:val="28"/>
        </w:rPr>
        <w:t xml:space="preserve"> (SWC),</w:t>
      </w:r>
    </w:p>
    <w:p w14:paraId="64914186" w14:textId="1683E5C7" w:rsidR="00A82300" w:rsidRPr="009C2894" w:rsidRDefault="004B6701" w:rsidP="00A82300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w</w:t>
      </w:r>
      <w:r w:rsidR="000A10D8" w:rsidRPr="009C2894">
        <w:rPr>
          <w:sz w:val="28"/>
          <w:szCs w:val="28"/>
        </w:rPr>
        <w:t xml:space="preserve">hich is an </w:t>
      </w:r>
      <w:r w:rsidR="00A82300" w:rsidRPr="009C2894">
        <w:rPr>
          <w:sz w:val="28"/>
          <w:szCs w:val="28"/>
        </w:rPr>
        <w:t>Unincorporated Association</w:t>
      </w:r>
      <w:r w:rsidR="000A10D8" w:rsidRPr="009C2894">
        <w:rPr>
          <w:sz w:val="28"/>
          <w:szCs w:val="28"/>
        </w:rPr>
        <w:t>.</w:t>
      </w:r>
    </w:p>
    <w:p w14:paraId="3B84675E" w14:textId="77777777" w:rsidR="003940DB" w:rsidRPr="009C2894" w:rsidRDefault="003940DB" w:rsidP="00A82300">
      <w:pPr>
        <w:pStyle w:val="NoSpacing"/>
        <w:rPr>
          <w:sz w:val="28"/>
          <w:szCs w:val="28"/>
        </w:rPr>
      </w:pPr>
    </w:p>
    <w:p w14:paraId="59AD1DDE" w14:textId="77777777" w:rsidR="003940DB" w:rsidRPr="009C2894" w:rsidRDefault="003940DB" w:rsidP="00A82300">
      <w:pPr>
        <w:pStyle w:val="NoSpacing"/>
        <w:rPr>
          <w:sz w:val="28"/>
          <w:szCs w:val="28"/>
        </w:rPr>
      </w:pPr>
    </w:p>
    <w:p w14:paraId="2CA0C3FB" w14:textId="60A49435" w:rsidR="003940DB" w:rsidRPr="009C2894" w:rsidRDefault="003940DB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t>2. Aims of the Saltfleetby</w:t>
      </w:r>
      <w:r w:rsidR="003876B8" w:rsidRPr="009C2894">
        <w:rPr>
          <w:b/>
          <w:bCs/>
          <w:sz w:val="28"/>
          <w:szCs w:val="28"/>
        </w:rPr>
        <w:t xml:space="preserve"> Windfarm Committee</w:t>
      </w:r>
    </w:p>
    <w:p w14:paraId="481C2615" w14:textId="77777777" w:rsidR="003940DB" w:rsidRPr="009C2894" w:rsidRDefault="003940DB" w:rsidP="00A82300">
      <w:pPr>
        <w:pStyle w:val="NoSpacing"/>
        <w:rPr>
          <w:sz w:val="28"/>
          <w:szCs w:val="28"/>
        </w:rPr>
      </w:pPr>
    </w:p>
    <w:p w14:paraId="1158952A" w14:textId="03FE96EA" w:rsidR="003940DB" w:rsidRPr="009C2894" w:rsidRDefault="003940DB" w:rsidP="00A82300">
      <w:pPr>
        <w:pStyle w:val="NoSpacing"/>
        <w:rPr>
          <w:color w:val="EE0000"/>
          <w:sz w:val="28"/>
          <w:szCs w:val="28"/>
        </w:rPr>
      </w:pPr>
      <w:r w:rsidRPr="009C2894">
        <w:rPr>
          <w:sz w:val="28"/>
          <w:szCs w:val="28"/>
        </w:rPr>
        <w:t>The aims of the S</w:t>
      </w:r>
      <w:r w:rsidR="004B6701" w:rsidRPr="009C2894">
        <w:rPr>
          <w:sz w:val="28"/>
          <w:szCs w:val="28"/>
        </w:rPr>
        <w:t xml:space="preserve">altfleetby Windfarm Committee </w:t>
      </w:r>
      <w:r w:rsidRPr="009C2894">
        <w:rPr>
          <w:sz w:val="28"/>
          <w:szCs w:val="28"/>
        </w:rPr>
        <w:t>are to</w:t>
      </w:r>
      <w:r w:rsidR="004B6701" w:rsidRPr="009C2894">
        <w:rPr>
          <w:sz w:val="28"/>
          <w:szCs w:val="28"/>
        </w:rPr>
        <w:t xml:space="preserve"> administer the funds generated by the </w:t>
      </w:r>
      <w:r w:rsidR="00671244" w:rsidRPr="009C2894">
        <w:rPr>
          <w:sz w:val="28"/>
          <w:szCs w:val="28"/>
        </w:rPr>
        <w:t xml:space="preserve">Gayton </w:t>
      </w:r>
      <w:r w:rsidR="004B6701" w:rsidRPr="009C2894">
        <w:rPr>
          <w:sz w:val="28"/>
          <w:szCs w:val="28"/>
        </w:rPr>
        <w:t>Windfarm</w:t>
      </w:r>
      <w:r w:rsidR="00233F35" w:rsidRPr="009C2894">
        <w:rPr>
          <w:sz w:val="28"/>
          <w:szCs w:val="28"/>
        </w:rPr>
        <w:t xml:space="preserve"> </w:t>
      </w:r>
      <w:r w:rsidR="00233F35" w:rsidRPr="00043E25">
        <w:rPr>
          <w:sz w:val="28"/>
          <w:szCs w:val="28"/>
        </w:rPr>
        <w:t>for community improvement.</w:t>
      </w:r>
    </w:p>
    <w:p w14:paraId="0CC7B1C4" w14:textId="4FB45CC1" w:rsidR="005167A4" w:rsidRPr="009C2894" w:rsidRDefault="005167A4" w:rsidP="00A82300">
      <w:pPr>
        <w:pStyle w:val="NoSpacing"/>
        <w:rPr>
          <w:sz w:val="28"/>
          <w:szCs w:val="28"/>
        </w:rPr>
      </w:pPr>
    </w:p>
    <w:p w14:paraId="0FD8FB9D" w14:textId="77777777" w:rsidR="005167A4" w:rsidRPr="009C2894" w:rsidRDefault="005167A4" w:rsidP="00A82300">
      <w:pPr>
        <w:pStyle w:val="NoSpacing"/>
        <w:rPr>
          <w:sz w:val="28"/>
          <w:szCs w:val="28"/>
        </w:rPr>
      </w:pPr>
    </w:p>
    <w:p w14:paraId="49D1AD6E" w14:textId="2C45803F" w:rsidR="003940DB" w:rsidRPr="009C2894" w:rsidRDefault="003940DB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t xml:space="preserve">3. </w:t>
      </w:r>
      <w:r w:rsidR="005167A4" w:rsidRPr="009C2894">
        <w:rPr>
          <w:b/>
          <w:bCs/>
          <w:sz w:val="28"/>
          <w:szCs w:val="28"/>
        </w:rPr>
        <w:t>Committee</w:t>
      </w:r>
    </w:p>
    <w:p w14:paraId="0B8B3DF5" w14:textId="77777777" w:rsidR="00A82300" w:rsidRPr="009C2894" w:rsidRDefault="00A82300" w:rsidP="00A82300">
      <w:pPr>
        <w:pStyle w:val="NoSpacing"/>
        <w:rPr>
          <w:sz w:val="28"/>
          <w:szCs w:val="28"/>
        </w:rPr>
      </w:pPr>
    </w:p>
    <w:p w14:paraId="21F1650B" w14:textId="2D270F3F" w:rsidR="004B6701" w:rsidRPr="009C2894" w:rsidRDefault="00324A7D" w:rsidP="00A82300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The S</w:t>
      </w:r>
      <w:r w:rsidR="004B6701" w:rsidRPr="009C2894">
        <w:rPr>
          <w:sz w:val="28"/>
          <w:szCs w:val="28"/>
        </w:rPr>
        <w:t>altfleetby Windfarm Committee</w:t>
      </w:r>
      <w:r w:rsidRPr="009C2894">
        <w:rPr>
          <w:sz w:val="28"/>
          <w:szCs w:val="28"/>
        </w:rPr>
        <w:t xml:space="preserve"> shall be controlled by a </w:t>
      </w:r>
      <w:r w:rsidR="00A82300" w:rsidRPr="009C2894">
        <w:rPr>
          <w:sz w:val="28"/>
          <w:szCs w:val="28"/>
        </w:rPr>
        <w:t>Management Committee consisting</w:t>
      </w:r>
      <w:r w:rsidR="004B6701" w:rsidRPr="009C2894">
        <w:rPr>
          <w:sz w:val="28"/>
          <w:szCs w:val="28"/>
        </w:rPr>
        <w:t xml:space="preserve"> exclusively of members of the Saltfleetby Parish Council (SPC).</w:t>
      </w:r>
    </w:p>
    <w:p w14:paraId="4AA18A3F" w14:textId="77777777" w:rsidR="004B6701" w:rsidRPr="009C2894" w:rsidRDefault="004B6701" w:rsidP="00A82300">
      <w:pPr>
        <w:pStyle w:val="NoSpacing"/>
        <w:rPr>
          <w:sz w:val="28"/>
          <w:szCs w:val="28"/>
        </w:rPr>
      </w:pPr>
    </w:p>
    <w:p w14:paraId="1455941C" w14:textId="5C94AB9E" w:rsidR="004B6701" w:rsidRPr="009C2894" w:rsidRDefault="004B6701" w:rsidP="004B6701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The Chair of the SPC shall be the Chair of the SWC.</w:t>
      </w:r>
    </w:p>
    <w:p w14:paraId="321FA7DA" w14:textId="50BD698D" w:rsidR="004B6701" w:rsidRPr="009C2894" w:rsidRDefault="004B6701" w:rsidP="004B6701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The Vice-Chair of the SPC shall be the Vice-Chair of the SWC.</w:t>
      </w:r>
    </w:p>
    <w:p w14:paraId="747C6178" w14:textId="0A15BA24" w:rsidR="004B6701" w:rsidRPr="009C2894" w:rsidRDefault="004B6701" w:rsidP="004B6701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The Clerk/RFO of the SPC shall carry out the duties of Secretary and Treasurer of the SWC.</w:t>
      </w:r>
    </w:p>
    <w:p w14:paraId="1261C8F2" w14:textId="1333C2DA" w:rsidR="004B6701" w:rsidRPr="009C2894" w:rsidRDefault="004B6701" w:rsidP="004B6701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The rest of the committee shall consist of the remaining members of the SPC.</w:t>
      </w:r>
    </w:p>
    <w:p w14:paraId="60B38185" w14:textId="77777777" w:rsidR="000A10D8" w:rsidRPr="009C2894" w:rsidRDefault="000A10D8" w:rsidP="00A82300">
      <w:pPr>
        <w:pStyle w:val="NoSpacing"/>
        <w:rPr>
          <w:sz w:val="28"/>
          <w:szCs w:val="28"/>
        </w:rPr>
      </w:pPr>
    </w:p>
    <w:p w14:paraId="7A9E8868" w14:textId="77777777" w:rsidR="003940DB" w:rsidRPr="009C2894" w:rsidRDefault="003940DB" w:rsidP="00A82300">
      <w:pPr>
        <w:pStyle w:val="NoSpacing"/>
        <w:rPr>
          <w:sz w:val="28"/>
          <w:szCs w:val="28"/>
        </w:rPr>
      </w:pPr>
    </w:p>
    <w:p w14:paraId="79127B0E" w14:textId="70028266" w:rsidR="003940DB" w:rsidRPr="009C2894" w:rsidRDefault="003940DB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t xml:space="preserve">4. Annual General Meeting and </w:t>
      </w:r>
      <w:r w:rsidR="00A23477" w:rsidRPr="009C2894">
        <w:rPr>
          <w:b/>
          <w:bCs/>
          <w:sz w:val="28"/>
          <w:szCs w:val="28"/>
        </w:rPr>
        <w:t>Management Committee</w:t>
      </w:r>
      <w:r w:rsidRPr="009C2894">
        <w:rPr>
          <w:b/>
          <w:bCs/>
          <w:sz w:val="28"/>
          <w:szCs w:val="28"/>
        </w:rPr>
        <w:t xml:space="preserve"> Meetings</w:t>
      </w:r>
    </w:p>
    <w:p w14:paraId="11211A0A" w14:textId="77777777" w:rsidR="00671244" w:rsidRPr="009C2894" w:rsidRDefault="00671244" w:rsidP="00A82300">
      <w:pPr>
        <w:pStyle w:val="NoSpacing"/>
        <w:rPr>
          <w:sz w:val="28"/>
          <w:szCs w:val="28"/>
        </w:rPr>
      </w:pPr>
    </w:p>
    <w:p w14:paraId="56791822" w14:textId="6779145A" w:rsidR="00671244" w:rsidRPr="009C2894" w:rsidRDefault="00671244" w:rsidP="00A82300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>An annual general meeting will be held in May each year.</w:t>
      </w:r>
    </w:p>
    <w:p w14:paraId="6E088060" w14:textId="1073ABA5" w:rsidR="00671244" w:rsidRPr="00043E25" w:rsidRDefault="00671244" w:rsidP="00A82300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 xml:space="preserve">Committee meetings will be held on alternate months </w:t>
      </w:r>
      <w:r w:rsidR="00AE797E" w:rsidRPr="009C2894">
        <w:rPr>
          <w:sz w:val="28"/>
          <w:szCs w:val="28"/>
        </w:rPr>
        <w:t>if required.</w:t>
      </w:r>
      <w:r w:rsidR="006A4471" w:rsidRPr="009C2894">
        <w:rPr>
          <w:sz w:val="28"/>
          <w:szCs w:val="28"/>
        </w:rPr>
        <w:t xml:space="preserve"> </w:t>
      </w:r>
      <w:r w:rsidR="006A4471" w:rsidRPr="00043E25">
        <w:rPr>
          <w:sz w:val="28"/>
          <w:szCs w:val="28"/>
        </w:rPr>
        <w:t xml:space="preserve">A schedule of meeting dates will be </w:t>
      </w:r>
      <w:r w:rsidR="007313F9" w:rsidRPr="00043E25">
        <w:rPr>
          <w:sz w:val="28"/>
          <w:szCs w:val="28"/>
        </w:rPr>
        <w:t>determined</w:t>
      </w:r>
      <w:r w:rsidR="006A4471" w:rsidRPr="00043E25">
        <w:rPr>
          <w:sz w:val="28"/>
          <w:szCs w:val="28"/>
        </w:rPr>
        <w:t xml:space="preserve"> at the AGM.</w:t>
      </w:r>
    </w:p>
    <w:p w14:paraId="0129B419" w14:textId="55E84FA5" w:rsidR="00671244" w:rsidRPr="00043E25" w:rsidRDefault="00671244" w:rsidP="00A82300">
      <w:pPr>
        <w:pStyle w:val="NoSpacing"/>
        <w:rPr>
          <w:sz w:val="28"/>
          <w:szCs w:val="28"/>
        </w:rPr>
      </w:pPr>
    </w:p>
    <w:p w14:paraId="70A13A68" w14:textId="77777777" w:rsidR="003940DB" w:rsidRPr="009C2894" w:rsidRDefault="003940DB" w:rsidP="00A82300">
      <w:pPr>
        <w:pStyle w:val="NoSpacing"/>
        <w:rPr>
          <w:sz w:val="28"/>
          <w:szCs w:val="28"/>
        </w:rPr>
      </w:pPr>
    </w:p>
    <w:p w14:paraId="6C2A222D" w14:textId="303EFAD1" w:rsidR="003940DB" w:rsidRPr="009C2894" w:rsidRDefault="003940DB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t>5. Rules of Procedure</w:t>
      </w:r>
      <w:r w:rsidR="007166B8" w:rsidRPr="009C2894">
        <w:rPr>
          <w:b/>
          <w:bCs/>
          <w:sz w:val="28"/>
          <w:szCs w:val="28"/>
        </w:rPr>
        <w:t xml:space="preserve"> at Meetings</w:t>
      </w:r>
    </w:p>
    <w:p w14:paraId="6BF89844" w14:textId="77777777" w:rsidR="007166B8" w:rsidRPr="009C2894" w:rsidRDefault="007166B8" w:rsidP="007166B8">
      <w:pPr>
        <w:pStyle w:val="NoSpacing"/>
        <w:rPr>
          <w:sz w:val="28"/>
          <w:szCs w:val="28"/>
        </w:rPr>
      </w:pPr>
    </w:p>
    <w:p w14:paraId="46AE90D9" w14:textId="6B170AC8" w:rsidR="00AE797E" w:rsidRPr="009C2894" w:rsidRDefault="00DA5BD2" w:rsidP="007166B8">
      <w:pPr>
        <w:pStyle w:val="NoSpacing"/>
        <w:rPr>
          <w:color w:val="555555"/>
          <w:sz w:val="28"/>
          <w:szCs w:val="28"/>
        </w:rPr>
      </w:pPr>
      <w:r w:rsidRPr="007649FC">
        <w:rPr>
          <w:b/>
          <w:bCs/>
          <w:color w:val="555555"/>
          <w:sz w:val="28"/>
          <w:szCs w:val="28"/>
        </w:rPr>
        <w:t>5.1</w:t>
      </w:r>
      <w:r w:rsidRPr="009C2894">
        <w:rPr>
          <w:color w:val="555555"/>
          <w:sz w:val="28"/>
          <w:szCs w:val="28"/>
        </w:rPr>
        <w:t xml:space="preserve"> </w:t>
      </w:r>
      <w:r w:rsidR="00671244" w:rsidRPr="009C2894">
        <w:rPr>
          <w:color w:val="555555"/>
          <w:sz w:val="28"/>
          <w:szCs w:val="28"/>
        </w:rPr>
        <w:t>An agenda will be produced by the secretary and disseminated to members one week prior to the meeting</w:t>
      </w:r>
      <w:r w:rsidRPr="009C2894">
        <w:rPr>
          <w:color w:val="555555"/>
          <w:sz w:val="28"/>
          <w:szCs w:val="28"/>
        </w:rPr>
        <w:t xml:space="preserve"> and a</w:t>
      </w:r>
      <w:r w:rsidR="00AE797E" w:rsidRPr="009C2894">
        <w:rPr>
          <w:color w:val="555555"/>
          <w:sz w:val="28"/>
          <w:szCs w:val="28"/>
        </w:rPr>
        <w:t>ll meetings will be minuted by the secretary.</w:t>
      </w:r>
    </w:p>
    <w:p w14:paraId="66EAA8EA" w14:textId="55FDB895" w:rsidR="00DA5BD2" w:rsidRPr="009C2894" w:rsidRDefault="00DA5BD2" w:rsidP="007166B8">
      <w:pPr>
        <w:pStyle w:val="NoSpacing"/>
        <w:rPr>
          <w:color w:val="555555"/>
          <w:sz w:val="28"/>
          <w:szCs w:val="28"/>
        </w:rPr>
      </w:pPr>
      <w:r w:rsidRPr="007649FC">
        <w:rPr>
          <w:b/>
          <w:bCs/>
          <w:color w:val="555555"/>
          <w:sz w:val="28"/>
          <w:szCs w:val="28"/>
        </w:rPr>
        <w:t>5.2</w:t>
      </w:r>
      <w:r w:rsidRPr="009C2894">
        <w:rPr>
          <w:color w:val="555555"/>
          <w:sz w:val="28"/>
          <w:szCs w:val="28"/>
        </w:rPr>
        <w:t xml:space="preserve"> Members of the public will be permitted to witness the proceedings but will not be allowed to take part in the discussions.</w:t>
      </w:r>
    </w:p>
    <w:p w14:paraId="4D8F42F0" w14:textId="7CB55A6D" w:rsidR="00DA5BD2" w:rsidRPr="009C2894" w:rsidRDefault="00DA5BD2" w:rsidP="007166B8">
      <w:pPr>
        <w:pStyle w:val="NoSpacing"/>
        <w:rPr>
          <w:color w:val="555555"/>
          <w:sz w:val="28"/>
          <w:szCs w:val="28"/>
        </w:rPr>
      </w:pPr>
      <w:r w:rsidRPr="007649FC">
        <w:rPr>
          <w:b/>
          <w:bCs/>
          <w:color w:val="555555"/>
          <w:sz w:val="28"/>
          <w:szCs w:val="28"/>
        </w:rPr>
        <w:t>5.3</w:t>
      </w:r>
      <w:r w:rsidRPr="009C2894">
        <w:rPr>
          <w:color w:val="555555"/>
          <w:sz w:val="28"/>
          <w:szCs w:val="28"/>
        </w:rPr>
        <w:t xml:space="preserve"> The person who signed the application for a grant may introduce the project before the committee determines if a grant will be given. The applicant may be questioned during the debate but other than to answer questions will not take an active part in the debate.</w:t>
      </w:r>
    </w:p>
    <w:p w14:paraId="4491A66C" w14:textId="173B3ED3" w:rsidR="00DA5BD2" w:rsidRPr="009C2894" w:rsidRDefault="00DA5BD2" w:rsidP="007166B8">
      <w:pPr>
        <w:pStyle w:val="NoSpacing"/>
        <w:rPr>
          <w:color w:val="555555"/>
          <w:sz w:val="28"/>
          <w:szCs w:val="28"/>
        </w:rPr>
      </w:pPr>
      <w:r w:rsidRPr="007649FC">
        <w:rPr>
          <w:b/>
          <w:bCs/>
          <w:color w:val="555555"/>
          <w:sz w:val="28"/>
          <w:szCs w:val="28"/>
        </w:rPr>
        <w:lastRenderedPageBreak/>
        <w:t>5.4</w:t>
      </w:r>
      <w:r w:rsidRPr="009C2894">
        <w:rPr>
          <w:color w:val="555555"/>
          <w:sz w:val="28"/>
          <w:szCs w:val="28"/>
        </w:rPr>
        <w:t xml:space="preserve"> A committee member who has applied for a grant will be treated in the same manner as a non-member of the committee. </w:t>
      </w:r>
      <w:proofErr w:type="spellStart"/>
      <w:r w:rsidR="00F33468" w:rsidRPr="009C2894">
        <w:rPr>
          <w:color w:val="555555"/>
          <w:sz w:val="28"/>
          <w:szCs w:val="28"/>
        </w:rPr>
        <w:t>i</w:t>
      </w:r>
      <w:r w:rsidRPr="009C2894">
        <w:rPr>
          <w:color w:val="555555"/>
          <w:sz w:val="28"/>
          <w:szCs w:val="28"/>
        </w:rPr>
        <w:t>e</w:t>
      </w:r>
      <w:proofErr w:type="spellEnd"/>
      <w:r w:rsidRPr="009C2894">
        <w:rPr>
          <w:color w:val="555555"/>
          <w:sz w:val="28"/>
          <w:szCs w:val="28"/>
        </w:rPr>
        <w:t xml:space="preserve"> </w:t>
      </w:r>
      <w:proofErr w:type="gramStart"/>
      <w:r w:rsidRPr="009C2894">
        <w:rPr>
          <w:color w:val="555555"/>
          <w:sz w:val="28"/>
          <w:szCs w:val="28"/>
        </w:rPr>
        <w:t>The</w:t>
      </w:r>
      <w:proofErr w:type="gramEnd"/>
      <w:r w:rsidRPr="009C2894">
        <w:rPr>
          <w:color w:val="555555"/>
          <w:sz w:val="28"/>
          <w:szCs w:val="28"/>
        </w:rPr>
        <w:t xml:space="preserve"> member may introduce the project, be questioned by the committee</w:t>
      </w:r>
      <w:r w:rsidR="00F33468" w:rsidRPr="009C2894">
        <w:rPr>
          <w:color w:val="555555"/>
          <w:sz w:val="28"/>
          <w:szCs w:val="28"/>
        </w:rPr>
        <w:t xml:space="preserve"> and be present for the voting but will not take part in the voting.</w:t>
      </w:r>
    </w:p>
    <w:p w14:paraId="1CABB687" w14:textId="05273C0A" w:rsidR="00671244" w:rsidRPr="009C2894" w:rsidRDefault="00F33468" w:rsidP="007166B8">
      <w:pPr>
        <w:pStyle w:val="NoSpacing"/>
        <w:rPr>
          <w:color w:val="555555"/>
          <w:sz w:val="28"/>
          <w:szCs w:val="28"/>
        </w:rPr>
      </w:pPr>
      <w:r w:rsidRPr="007649FC">
        <w:rPr>
          <w:b/>
          <w:bCs/>
          <w:color w:val="555555"/>
          <w:sz w:val="28"/>
          <w:szCs w:val="28"/>
        </w:rPr>
        <w:t>5.5</w:t>
      </w:r>
      <w:r w:rsidRPr="009C2894">
        <w:rPr>
          <w:color w:val="555555"/>
          <w:sz w:val="28"/>
          <w:szCs w:val="28"/>
        </w:rPr>
        <w:t xml:space="preserve"> </w:t>
      </w:r>
      <w:r w:rsidR="00671244" w:rsidRPr="009C2894">
        <w:rPr>
          <w:color w:val="555555"/>
          <w:sz w:val="28"/>
          <w:szCs w:val="28"/>
        </w:rPr>
        <w:t xml:space="preserve">Grant applications will be forwarded to all members of the committee </w:t>
      </w:r>
      <w:r w:rsidR="001C32B2" w:rsidRPr="009C2894">
        <w:rPr>
          <w:color w:val="555555"/>
          <w:sz w:val="28"/>
          <w:szCs w:val="28"/>
        </w:rPr>
        <w:t>two weeks</w:t>
      </w:r>
      <w:r w:rsidR="00671244" w:rsidRPr="009C2894">
        <w:rPr>
          <w:color w:val="555555"/>
          <w:sz w:val="28"/>
          <w:szCs w:val="28"/>
        </w:rPr>
        <w:t xml:space="preserve"> prior to the meeting.</w:t>
      </w:r>
      <w:r w:rsidR="001C32B2" w:rsidRPr="009C2894">
        <w:rPr>
          <w:color w:val="555555"/>
          <w:sz w:val="28"/>
          <w:szCs w:val="28"/>
        </w:rPr>
        <w:t xml:space="preserve"> Only applications that have been forwarded to committee members will be added to the agenda.</w:t>
      </w:r>
    </w:p>
    <w:p w14:paraId="1BF656F6" w14:textId="21C22C7E" w:rsidR="006A4471" w:rsidRPr="009C2894" w:rsidRDefault="006A4471" w:rsidP="007166B8">
      <w:pPr>
        <w:pStyle w:val="NoSpacing"/>
        <w:rPr>
          <w:sz w:val="28"/>
          <w:szCs w:val="28"/>
        </w:rPr>
      </w:pPr>
      <w:r w:rsidRPr="007649FC">
        <w:rPr>
          <w:b/>
          <w:bCs/>
          <w:sz w:val="28"/>
          <w:szCs w:val="28"/>
        </w:rPr>
        <w:t>5.6</w:t>
      </w:r>
      <w:r w:rsidRPr="009C2894">
        <w:rPr>
          <w:sz w:val="28"/>
          <w:szCs w:val="28"/>
        </w:rPr>
        <w:t xml:space="preserve"> Incomplete applications will be rejected and returned for resubmission.</w:t>
      </w:r>
    </w:p>
    <w:p w14:paraId="74B21D6D" w14:textId="2A9F9821" w:rsidR="00AE797E" w:rsidRPr="009C2894" w:rsidRDefault="00F33468" w:rsidP="007166B8">
      <w:pPr>
        <w:pStyle w:val="NoSpacing"/>
        <w:rPr>
          <w:color w:val="555555"/>
          <w:sz w:val="28"/>
          <w:szCs w:val="28"/>
        </w:rPr>
      </w:pPr>
      <w:r w:rsidRPr="007649FC">
        <w:rPr>
          <w:b/>
          <w:bCs/>
          <w:sz w:val="28"/>
          <w:szCs w:val="28"/>
        </w:rPr>
        <w:t>5.</w:t>
      </w:r>
      <w:r w:rsidR="006A4471" w:rsidRPr="007649FC">
        <w:rPr>
          <w:b/>
          <w:bCs/>
          <w:sz w:val="28"/>
          <w:szCs w:val="28"/>
        </w:rPr>
        <w:t>7</w:t>
      </w:r>
      <w:r w:rsidRPr="009C2894">
        <w:rPr>
          <w:sz w:val="28"/>
          <w:szCs w:val="28"/>
        </w:rPr>
        <w:t xml:space="preserve"> </w:t>
      </w:r>
      <w:r w:rsidR="001C32B2" w:rsidRPr="009C2894">
        <w:rPr>
          <w:sz w:val="28"/>
          <w:szCs w:val="28"/>
        </w:rPr>
        <w:t xml:space="preserve">Grant applications </w:t>
      </w:r>
      <w:r w:rsidR="001C32B2" w:rsidRPr="009C2894">
        <w:rPr>
          <w:color w:val="555555"/>
          <w:sz w:val="28"/>
          <w:szCs w:val="28"/>
        </w:rPr>
        <w:t>will be scrutinised in accordance with the terms of reference.</w:t>
      </w:r>
      <w:r w:rsidR="00DE608A">
        <w:rPr>
          <w:color w:val="555555"/>
          <w:sz w:val="28"/>
          <w:szCs w:val="28"/>
        </w:rPr>
        <w:t xml:space="preserve">  </w:t>
      </w:r>
      <w:r w:rsidR="00AE797E" w:rsidRPr="009C2894">
        <w:rPr>
          <w:color w:val="555555"/>
          <w:sz w:val="28"/>
          <w:szCs w:val="28"/>
        </w:rPr>
        <w:t xml:space="preserve">All decisions will be made by a simple vote. If the vote results in a </w:t>
      </w:r>
      <w:r w:rsidR="00DA5BD2" w:rsidRPr="009C2894">
        <w:rPr>
          <w:color w:val="555555"/>
          <w:sz w:val="28"/>
          <w:szCs w:val="28"/>
        </w:rPr>
        <w:t>tie,</w:t>
      </w:r>
      <w:r w:rsidR="00AE797E" w:rsidRPr="009C2894">
        <w:rPr>
          <w:color w:val="555555"/>
          <w:sz w:val="28"/>
          <w:szCs w:val="28"/>
        </w:rPr>
        <w:t xml:space="preserve"> then the chair will have an additional casting vote.</w:t>
      </w:r>
    </w:p>
    <w:p w14:paraId="6C6F2578" w14:textId="3399C209" w:rsidR="007313F9" w:rsidRDefault="007313F9" w:rsidP="007166B8">
      <w:pPr>
        <w:pStyle w:val="NoSpacing"/>
        <w:rPr>
          <w:sz w:val="28"/>
          <w:szCs w:val="28"/>
        </w:rPr>
      </w:pPr>
      <w:r w:rsidRPr="007649FC">
        <w:rPr>
          <w:b/>
          <w:bCs/>
          <w:sz w:val="28"/>
          <w:szCs w:val="28"/>
        </w:rPr>
        <w:t>5.8</w:t>
      </w:r>
      <w:r w:rsidRPr="009C2894">
        <w:rPr>
          <w:sz w:val="28"/>
          <w:szCs w:val="28"/>
        </w:rPr>
        <w:t xml:space="preserve"> Document hierarchy in the instance of a clash of terms shall be as </w:t>
      </w:r>
      <w:proofErr w:type="gramStart"/>
      <w:r w:rsidRPr="009C2894">
        <w:rPr>
          <w:sz w:val="28"/>
          <w:szCs w:val="28"/>
        </w:rPr>
        <w:t>follows:-</w:t>
      </w:r>
      <w:proofErr w:type="gramEnd"/>
    </w:p>
    <w:p w14:paraId="1B6933EC" w14:textId="77777777" w:rsidR="001747A5" w:rsidRDefault="001747A5" w:rsidP="00043E25">
      <w:pPr>
        <w:pStyle w:val="NoSpacing"/>
        <w:rPr>
          <w:sz w:val="28"/>
          <w:szCs w:val="28"/>
        </w:rPr>
      </w:pPr>
    </w:p>
    <w:p w14:paraId="50F29A84" w14:textId="40AF2D4A" w:rsidR="007313F9" w:rsidRPr="00DE608A" w:rsidRDefault="007313F9" w:rsidP="00043E25">
      <w:pPr>
        <w:pStyle w:val="NoSpacing"/>
        <w:rPr>
          <w:sz w:val="28"/>
          <w:szCs w:val="28"/>
        </w:rPr>
      </w:pPr>
      <w:r w:rsidRPr="00DE608A">
        <w:rPr>
          <w:sz w:val="28"/>
          <w:szCs w:val="28"/>
        </w:rPr>
        <w:t>1 Project Funding Agreement dated 14</w:t>
      </w:r>
      <w:r w:rsidRPr="00DE608A">
        <w:rPr>
          <w:sz w:val="28"/>
          <w:szCs w:val="28"/>
          <w:vertAlign w:val="superscript"/>
        </w:rPr>
        <w:t>th</w:t>
      </w:r>
      <w:r w:rsidRPr="00DE608A">
        <w:rPr>
          <w:sz w:val="28"/>
          <w:szCs w:val="28"/>
        </w:rPr>
        <w:t xml:space="preserve"> March 2011</w:t>
      </w:r>
    </w:p>
    <w:p w14:paraId="05A9DFDC" w14:textId="0E56D055" w:rsidR="007313F9" w:rsidRPr="00DE608A" w:rsidRDefault="00043E25" w:rsidP="00043E25">
      <w:pPr>
        <w:pStyle w:val="NoSpacing"/>
        <w:rPr>
          <w:sz w:val="28"/>
          <w:szCs w:val="28"/>
        </w:rPr>
      </w:pPr>
      <w:r w:rsidRPr="00DE608A">
        <w:rPr>
          <w:sz w:val="28"/>
          <w:szCs w:val="28"/>
        </w:rPr>
        <w:t xml:space="preserve">   </w:t>
      </w:r>
      <w:r w:rsidR="007313F9" w:rsidRPr="00DE608A">
        <w:rPr>
          <w:sz w:val="28"/>
          <w:szCs w:val="28"/>
        </w:rPr>
        <w:t xml:space="preserve">Takes precedence </w:t>
      </w:r>
      <w:proofErr w:type="gramStart"/>
      <w:r w:rsidR="007313F9" w:rsidRPr="00DE608A">
        <w:rPr>
          <w:sz w:val="28"/>
          <w:szCs w:val="28"/>
        </w:rPr>
        <w:t>over</w:t>
      </w:r>
      <w:r w:rsidRPr="00DE608A">
        <w:rPr>
          <w:sz w:val="28"/>
          <w:szCs w:val="28"/>
        </w:rPr>
        <w:t>:-</w:t>
      </w:r>
      <w:proofErr w:type="gramEnd"/>
    </w:p>
    <w:p w14:paraId="71800EDA" w14:textId="77777777" w:rsidR="00043E25" w:rsidRPr="00DE608A" w:rsidRDefault="00043E25" w:rsidP="00043E25">
      <w:pPr>
        <w:pStyle w:val="NoSpacing"/>
        <w:rPr>
          <w:sz w:val="28"/>
          <w:szCs w:val="28"/>
        </w:rPr>
      </w:pPr>
    </w:p>
    <w:p w14:paraId="3F3ECFE6" w14:textId="7FBAC9E3" w:rsidR="007313F9" w:rsidRPr="00DE608A" w:rsidRDefault="007313F9" w:rsidP="00043E25">
      <w:pPr>
        <w:pStyle w:val="NoSpacing"/>
        <w:rPr>
          <w:sz w:val="28"/>
          <w:szCs w:val="28"/>
        </w:rPr>
      </w:pPr>
      <w:r w:rsidRPr="00DE608A">
        <w:rPr>
          <w:sz w:val="28"/>
          <w:szCs w:val="28"/>
        </w:rPr>
        <w:t>2 Constitution of the Windfarm Committee (Current Issue)</w:t>
      </w:r>
    </w:p>
    <w:p w14:paraId="1CD43763" w14:textId="52654331" w:rsidR="007313F9" w:rsidRPr="00DE608A" w:rsidRDefault="00043E25" w:rsidP="00043E25">
      <w:pPr>
        <w:pStyle w:val="NoSpacing"/>
        <w:rPr>
          <w:sz w:val="28"/>
          <w:szCs w:val="28"/>
        </w:rPr>
      </w:pPr>
      <w:r w:rsidRPr="00DE608A">
        <w:rPr>
          <w:sz w:val="28"/>
          <w:szCs w:val="28"/>
        </w:rPr>
        <w:t xml:space="preserve">   </w:t>
      </w:r>
      <w:r w:rsidR="007313F9" w:rsidRPr="00DE608A">
        <w:rPr>
          <w:sz w:val="28"/>
          <w:szCs w:val="28"/>
        </w:rPr>
        <w:t xml:space="preserve">Takes precedence </w:t>
      </w:r>
      <w:proofErr w:type="gramStart"/>
      <w:r w:rsidR="007313F9" w:rsidRPr="00DE608A">
        <w:rPr>
          <w:sz w:val="28"/>
          <w:szCs w:val="28"/>
        </w:rPr>
        <w:t>over</w:t>
      </w:r>
      <w:r w:rsidRPr="00DE608A">
        <w:rPr>
          <w:sz w:val="28"/>
          <w:szCs w:val="28"/>
        </w:rPr>
        <w:t>:-</w:t>
      </w:r>
      <w:proofErr w:type="gramEnd"/>
    </w:p>
    <w:p w14:paraId="57786B88" w14:textId="77777777" w:rsidR="00043E25" w:rsidRPr="00DE608A" w:rsidRDefault="00043E25" w:rsidP="00043E25">
      <w:pPr>
        <w:pStyle w:val="NoSpacing"/>
        <w:rPr>
          <w:sz w:val="28"/>
          <w:szCs w:val="28"/>
        </w:rPr>
      </w:pPr>
    </w:p>
    <w:p w14:paraId="58C9CF7D" w14:textId="41ECDC84" w:rsidR="007313F9" w:rsidRPr="00DE608A" w:rsidRDefault="007313F9" w:rsidP="00043E25">
      <w:pPr>
        <w:pStyle w:val="NoSpacing"/>
        <w:rPr>
          <w:sz w:val="28"/>
          <w:szCs w:val="28"/>
        </w:rPr>
      </w:pPr>
      <w:r w:rsidRPr="00DE608A">
        <w:rPr>
          <w:sz w:val="28"/>
          <w:szCs w:val="28"/>
        </w:rPr>
        <w:t>3 Windfarm Fund Terms of Reference (Current Issue)</w:t>
      </w:r>
    </w:p>
    <w:p w14:paraId="4B51EE73" w14:textId="77777777" w:rsidR="00DA5BD2" w:rsidRPr="00DE608A" w:rsidRDefault="00DA5BD2" w:rsidP="007166B8">
      <w:pPr>
        <w:pStyle w:val="NoSpacing"/>
        <w:rPr>
          <w:sz w:val="28"/>
          <w:szCs w:val="28"/>
        </w:rPr>
      </w:pPr>
    </w:p>
    <w:p w14:paraId="15BC90BA" w14:textId="77777777" w:rsidR="007166B8" w:rsidRDefault="007166B8" w:rsidP="007166B8">
      <w:pPr>
        <w:pStyle w:val="NoSpacing"/>
      </w:pPr>
    </w:p>
    <w:p w14:paraId="0A6D8D07" w14:textId="7775F9B2" w:rsidR="007166B8" w:rsidRDefault="007166B8" w:rsidP="007166B8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t>6. Finances</w:t>
      </w:r>
    </w:p>
    <w:p w14:paraId="345237B5" w14:textId="77777777" w:rsidR="00DE608A" w:rsidRPr="009C2894" w:rsidRDefault="00DE608A" w:rsidP="007166B8">
      <w:pPr>
        <w:pStyle w:val="NoSpacing"/>
        <w:rPr>
          <w:b/>
          <w:bCs/>
          <w:sz w:val="28"/>
          <w:szCs w:val="28"/>
        </w:rPr>
      </w:pPr>
    </w:p>
    <w:p w14:paraId="44B67033" w14:textId="6C02DF0E" w:rsidR="00F33468" w:rsidRPr="009C2894" w:rsidRDefault="00F33468" w:rsidP="007166B8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6.1</w:t>
      </w:r>
      <w:r w:rsidRPr="009C2894">
        <w:rPr>
          <w:sz w:val="28"/>
          <w:szCs w:val="28"/>
        </w:rPr>
        <w:t xml:space="preserve"> A dedicated current account will be maintained by the secretary to enable day to day functioning of the Windfarm Fund monies. Additional accounts may be opened to invest surplus and ring-fenced monies.</w:t>
      </w:r>
    </w:p>
    <w:p w14:paraId="76A4C8E0" w14:textId="35ACFCE5" w:rsidR="00F33468" w:rsidRPr="009C2894" w:rsidRDefault="00F33468" w:rsidP="007166B8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6.2</w:t>
      </w:r>
      <w:r w:rsidRPr="009C2894">
        <w:rPr>
          <w:sz w:val="28"/>
          <w:szCs w:val="28"/>
        </w:rPr>
        <w:t xml:space="preserve"> A minimum of 10% of the income shall be ring-fenced and invested until the income from the Windfarm ceases. The invested monies may then be used to fund projects after the income has stopped.</w:t>
      </w:r>
    </w:p>
    <w:p w14:paraId="628FA9D3" w14:textId="619C7586" w:rsidR="009C3562" w:rsidRPr="009C2894" w:rsidRDefault="009C3562" w:rsidP="007166B8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6.3</w:t>
      </w:r>
      <w:r w:rsidRPr="009C2894">
        <w:rPr>
          <w:sz w:val="28"/>
          <w:szCs w:val="28"/>
        </w:rPr>
        <w:t xml:space="preserve"> Detailed records of the accounts will be presented at each meeting of the committee by the secretary.</w:t>
      </w:r>
    </w:p>
    <w:p w14:paraId="4D531414" w14:textId="51B9A0A4" w:rsidR="009C3562" w:rsidRPr="009C2894" w:rsidRDefault="009C3562" w:rsidP="007166B8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6.4</w:t>
      </w:r>
      <w:r w:rsidRPr="009C2894">
        <w:rPr>
          <w:sz w:val="28"/>
          <w:szCs w:val="28"/>
        </w:rPr>
        <w:t xml:space="preserve"> An annual statement of accounts shall be presented at the Annual General Meeting. The statement will be certified by a competent person who has been appointed by the committee.</w:t>
      </w:r>
    </w:p>
    <w:p w14:paraId="637829FE" w14:textId="1DAD9D6E" w:rsidR="009C3562" w:rsidRPr="009C2894" w:rsidRDefault="009C3562" w:rsidP="007166B8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6.5</w:t>
      </w:r>
      <w:r w:rsidRPr="009C2894">
        <w:rPr>
          <w:sz w:val="28"/>
          <w:szCs w:val="28"/>
        </w:rPr>
        <w:t xml:space="preserve"> At least four members of the committee will be authorised signatories of the bank accounts utilising internet banking.</w:t>
      </w:r>
    </w:p>
    <w:p w14:paraId="59D5468F" w14:textId="6A7A295C" w:rsidR="00F33468" w:rsidRPr="009C2894" w:rsidRDefault="00F33468" w:rsidP="007166B8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6.</w:t>
      </w:r>
      <w:r w:rsidR="009C3562" w:rsidRPr="001747A5">
        <w:rPr>
          <w:b/>
          <w:bCs/>
          <w:sz w:val="28"/>
          <w:szCs w:val="28"/>
        </w:rPr>
        <w:t>6</w:t>
      </w:r>
      <w:r w:rsidRPr="009C2894">
        <w:rPr>
          <w:sz w:val="28"/>
          <w:szCs w:val="28"/>
        </w:rPr>
        <w:t xml:space="preserve"> Each transaction will be authorised by two members of the committee</w:t>
      </w:r>
      <w:r w:rsidR="009C3562" w:rsidRPr="009C2894">
        <w:rPr>
          <w:sz w:val="28"/>
          <w:szCs w:val="28"/>
        </w:rPr>
        <w:t>.</w:t>
      </w:r>
    </w:p>
    <w:p w14:paraId="17C9FB18" w14:textId="11CF8B1E" w:rsidR="006A4471" w:rsidRDefault="006A4471" w:rsidP="007166B8">
      <w:pPr>
        <w:pStyle w:val="NoSpacing"/>
        <w:rPr>
          <w:color w:val="EE0000"/>
          <w:sz w:val="28"/>
          <w:szCs w:val="28"/>
        </w:rPr>
      </w:pPr>
    </w:p>
    <w:p w14:paraId="67179007" w14:textId="77777777" w:rsidR="00043E25" w:rsidRPr="009C2894" w:rsidRDefault="00043E25" w:rsidP="007166B8">
      <w:pPr>
        <w:pStyle w:val="NoSpacing"/>
        <w:rPr>
          <w:color w:val="EE0000"/>
          <w:sz w:val="28"/>
          <w:szCs w:val="28"/>
        </w:rPr>
      </w:pPr>
    </w:p>
    <w:p w14:paraId="31FD6900" w14:textId="77777777" w:rsidR="00F33468" w:rsidRDefault="00F33468" w:rsidP="007166B8">
      <w:pPr>
        <w:pStyle w:val="NoSpacing"/>
        <w:rPr>
          <w:sz w:val="28"/>
          <w:szCs w:val="28"/>
        </w:rPr>
      </w:pPr>
    </w:p>
    <w:p w14:paraId="5AE9A5F2" w14:textId="77777777" w:rsidR="001747A5" w:rsidRPr="009C2894" w:rsidRDefault="001747A5" w:rsidP="007166B8">
      <w:pPr>
        <w:pStyle w:val="NoSpacing"/>
        <w:rPr>
          <w:sz w:val="28"/>
          <w:szCs w:val="28"/>
        </w:rPr>
      </w:pPr>
    </w:p>
    <w:p w14:paraId="15C8EA90" w14:textId="77777777" w:rsidR="005167A4" w:rsidRPr="009C2894" w:rsidRDefault="005167A4" w:rsidP="007166B8">
      <w:pPr>
        <w:pStyle w:val="NoSpacing"/>
        <w:rPr>
          <w:sz w:val="28"/>
          <w:szCs w:val="28"/>
        </w:rPr>
      </w:pPr>
    </w:p>
    <w:p w14:paraId="6463DB71" w14:textId="08418BA4" w:rsidR="003940DB" w:rsidRPr="009C2894" w:rsidRDefault="007166B8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lastRenderedPageBreak/>
        <w:t>7</w:t>
      </w:r>
      <w:r w:rsidR="003940DB" w:rsidRPr="009C2894">
        <w:rPr>
          <w:b/>
          <w:bCs/>
          <w:sz w:val="28"/>
          <w:szCs w:val="28"/>
        </w:rPr>
        <w:t>. Changes to the Constitution</w:t>
      </w:r>
    </w:p>
    <w:p w14:paraId="70771394" w14:textId="77777777" w:rsidR="00DA1A9B" w:rsidRPr="009C2894" w:rsidRDefault="00DA1A9B" w:rsidP="00DA1A9B">
      <w:pPr>
        <w:pStyle w:val="NoSpacing"/>
        <w:rPr>
          <w:sz w:val="28"/>
          <w:szCs w:val="28"/>
        </w:rPr>
      </w:pPr>
    </w:p>
    <w:p w14:paraId="4E862610" w14:textId="71DD3BB8" w:rsidR="009C3562" w:rsidRPr="009C2894" w:rsidRDefault="009C3562" w:rsidP="00DA1A9B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7.1</w:t>
      </w:r>
      <w:r w:rsidRPr="009C2894">
        <w:rPr>
          <w:sz w:val="28"/>
          <w:szCs w:val="28"/>
        </w:rPr>
        <w:t xml:space="preserve"> The constitution may be amended at the Annual General Meeting or at an Extra-ordinary General Meeting.</w:t>
      </w:r>
    </w:p>
    <w:p w14:paraId="3E22A0A4" w14:textId="041BDDA2" w:rsidR="009C3562" w:rsidRPr="009C2894" w:rsidRDefault="009C3562" w:rsidP="00DA1A9B">
      <w:pPr>
        <w:pStyle w:val="NoSpacing"/>
        <w:rPr>
          <w:sz w:val="28"/>
          <w:szCs w:val="28"/>
        </w:rPr>
      </w:pPr>
      <w:r w:rsidRPr="001747A5">
        <w:rPr>
          <w:b/>
          <w:bCs/>
          <w:sz w:val="28"/>
          <w:szCs w:val="28"/>
        </w:rPr>
        <w:t>7.2</w:t>
      </w:r>
      <w:r w:rsidRPr="009C2894">
        <w:rPr>
          <w:sz w:val="28"/>
          <w:szCs w:val="28"/>
        </w:rPr>
        <w:t xml:space="preserve"> Changes to the constitution </w:t>
      </w:r>
      <w:r w:rsidR="004402BF" w:rsidRPr="009C2894">
        <w:rPr>
          <w:sz w:val="28"/>
          <w:szCs w:val="28"/>
        </w:rPr>
        <w:t xml:space="preserve">must be agreed by a </w:t>
      </w:r>
      <w:r w:rsidR="007649FC">
        <w:rPr>
          <w:sz w:val="28"/>
          <w:szCs w:val="28"/>
        </w:rPr>
        <w:t>two t</w:t>
      </w:r>
      <w:r w:rsidR="000477AF">
        <w:rPr>
          <w:sz w:val="28"/>
          <w:szCs w:val="28"/>
        </w:rPr>
        <w:t xml:space="preserve">hirds </w:t>
      </w:r>
      <w:r w:rsidR="004402BF" w:rsidRPr="009C2894">
        <w:rPr>
          <w:sz w:val="28"/>
          <w:szCs w:val="28"/>
        </w:rPr>
        <w:t>majority of the committee members.</w:t>
      </w:r>
    </w:p>
    <w:p w14:paraId="417F2DE8" w14:textId="77777777" w:rsidR="009C3562" w:rsidRPr="009C2894" w:rsidRDefault="009C3562" w:rsidP="00DA1A9B">
      <w:pPr>
        <w:pStyle w:val="NoSpacing"/>
        <w:rPr>
          <w:sz w:val="28"/>
          <w:szCs w:val="28"/>
        </w:rPr>
      </w:pPr>
    </w:p>
    <w:p w14:paraId="6F04D053" w14:textId="12A38AFF" w:rsidR="003940DB" w:rsidRPr="009C2894" w:rsidRDefault="007166B8" w:rsidP="00A82300">
      <w:pPr>
        <w:pStyle w:val="NoSpacing"/>
        <w:rPr>
          <w:b/>
          <w:bCs/>
          <w:sz w:val="28"/>
          <w:szCs w:val="28"/>
        </w:rPr>
      </w:pPr>
      <w:r w:rsidRPr="009C2894">
        <w:rPr>
          <w:b/>
          <w:bCs/>
          <w:sz w:val="28"/>
          <w:szCs w:val="28"/>
        </w:rPr>
        <w:t>8</w:t>
      </w:r>
      <w:r w:rsidR="003940DB" w:rsidRPr="009C2894">
        <w:rPr>
          <w:b/>
          <w:bCs/>
          <w:sz w:val="28"/>
          <w:szCs w:val="28"/>
        </w:rPr>
        <w:t>. Dissolution</w:t>
      </w:r>
    </w:p>
    <w:p w14:paraId="4745A053" w14:textId="77777777" w:rsidR="003940DB" w:rsidRPr="009C2894" w:rsidRDefault="003940DB" w:rsidP="000958F0">
      <w:pPr>
        <w:pStyle w:val="NoSpacing"/>
        <w:rPr>
          <w:sz w:val="28"/>
          <w:szCs w:val="28"/>
        </w:rPr>
      </w:pPr>
    </w:p>
    <w:p w14:paraId="3C96E2B1" w14:textId="36B87818" w:rsidR="004402BF" w:rsidRPr="009C2894" w:rsidRDefault="004402BF" w:rsidP="000958F0">
      <w:pPr>
        <w:pStyle w:val="NoSpacing"/>
        <w:rPr>
          <w:sz w:val="28"/>
          <w:szCs w:val="28"/>
        </w:rPr>
      </w:pPr>
      <w:r w:rsidRPr="009C2894">
        <w:rPr>
          <w:sz w:val="28"/>
          <w:szCs w:val="28"/>
        </w:rPr>
        <w:t xml:space="preserve">If the Saltfleetby Parish Council is dissolved then the responsibility for the functioning of the Windfarm Fund shall be given to the next tier of government </w:t>
      </w:r>
      <w:proofErr w:type="spellStart"/>
      <w:r w:rsidRPr="009C2894">
        <w:rPr>
          <w:sz w:val="28"/>
          <w:szCs w:val="28"/>
        </w:rPr>
        <w:t>ie</w:t>
      </w:r>
      <w:proofErr w:type="spellEnd"/>
      <w:r w:rsidRPr="009C2894">
        <w:rPr>
          <w:sz w:val="28"/>
          <w:szCs w:val="28"/>
        </w:rPr>
        <w:t xml:space="preserve"> District or County Council.</w:t>
      </w:r>
    </w:p>
    <w:p w14:paraId="64F49421" w14:textId="77777777" w:rsidR="004402BF" w:rsidRPr="009C2894" w:rsidRDefault="004402BF" w:rsidP="000958F0">
      <w:pPr>
        <w:pStyle w:val="NoSpacing"/>
        <w:rPr>
          <w:sz w:val="28"/>
          <w:szCs w:val="28"/>
        </w:rPr>
      </w:pPr>
    </w:p>
    <w:p w14:paraId="72701685" w14:textId="77777777" w:rsidR="003940DB" w:rsidRPr="000958F0" w:rsidRDefault="003940DB" w:rsidP="000958F0">
      <w:pPr>
        <w:pStyle w:val="NoSpacing"/>
      </w:pPr>
    </w:p>
    <w:sectPr w:rsidR="003940DB" w:rsidRPr="000958F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E837" w14:textId="77777777" w:rsidR="006666CE" w:rsidRDefault="006666CE" w:rsidP="0042381C">
      <w:pPr>
        <w:spacing w:after="0"/>
      </w:pPr>
      <w:r>
        <w:separator/>
      </w:r>
    </w:p>
  </w:endnote>
  <w:endnote w:type="continuationSeparator" w:id="0">
    <w:p w14:paraId="26072504" w14:textId="77777777" w:rsidR="006666CE" w:rsidRDefault="006666CE" w:rsidP="0042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6350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62B154" w14:textId="45C63C32" w:rsidR="0042381C" w:rsidRDefault="004238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4C1791" w14:textId="77777777" w:rsidR="0042381C" w:rsidRDefault="00423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1725" w14:textId="77777777" w:rsidR="006666CE" w:rsidRDefault="006666CE" w:rsidP="0042381C">
      <w:pPr>
        <w:spacing w:after="0"/>
      </w:pPr>
      <w:r>
        <w:separator/>
      </w:r>
    </w:p>
  </w:footnote>
  <w:footnote w:type="continuationSeparator" w:id="0">
    <w:p w14:paraId="21D33ECE" w14:textId="77777777" w:rsidR="006666CE" w:rsidRDefault="006666CE" w:rsidP="0042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01D6" w14:textId="54BDE318" w:rsidR="00BC63FA" w:rsidRDefault="00A85C77" w:rsidP="00A85C77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1</w:t>
    </w:r>
    <w:r w:rsidRPr="00A85C77">
      <w:rPr>
        <w:sz w:val="16"/>
        <w:szCs w:val="16"/>
        <w:vertAlign w:val="superscript"/>
      </w:rPr>
      <w:t>st</w:t>
    </w:r>
    <w:r>
      <w:rPr>
        <w:sz w:val="16"/>
        <w:szCs w:val="16"/>
      </w:rPr>
      <w:t xml:space="preserve"> Draft</w:t>
    </w:r>
  </w:p>
  <w:p w14:paraId="5E24CC90" w14:textId="2648C639" w:rsidR="00A85C77" w:rsidRPr="00A85C77" w:rsidRDefault="00A85C77" w:rsidP="00A85C77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7</w:t>
    </w:r>
    <w:r w:rsidRPr="00A85C77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A44"/>
    <w:multiLevelType w:val="multilevel"/>
    <w:tmpl w:val="A448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92F59"/>
    <w:multiLevelType w:val="multilevel"/>
    <w:tmpl w:val="3F7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C695E"/>
    <w:multiLevelType w:val="multilevel"/>
    <w:tmpl w:val="310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C3450"/>
    <w:multiLevelType w:val="multilevel"/>
    <w:tmpl w:val="2DF2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3C28F7"/>
    <w:multiLevelType w:val="multilevel"/>
    <w:tmpl w:val="6DA6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5385309">
    <w:abstractNumId w:val="4"/>
  </w:num>
  <w:num w:numId="2" w16cid:durableId="67581642">
    <w:abstractNumId w:val="3"/>
  </w:num>
  <w:num w:numId="3" w16cid:durableId="1100875348">
    <w:abstractNumId w:val="1"/>
  </w:num>
  <w:num w:numId="4" w16cid:durableId="906915834">
    <w:abstractNumId w:val="2"/>
  </w:num>
  <w:num w:numId="5" w16cid:durableId="189407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DB"/>
    <w:rsid w:val="00043E25"/>
    <w:rsid w:val="000477AF"/>
    <w:rsid w:val="000958F0"/>
    <w:rsid w:val="000A10D8"/>
    <w:rsid w:val="000F6988"/>
    <w:rsid w:val="0016276B"/>
    <w:rsid w:val="0016373B"/>
    <w:rsid w:val="001747A5"/>
    <w:rsid w:val="001C32B2"/>
    <w:rsid w:val="001F520A"/>
    <w:rsid w:val="00207003"/>
    <w:rsid w:val="00210030"/>
    <w:rsid w:val="00233F35"/>
    <w:rsid w:val="00240443"/>
    <w:rsid w:val="00285685"/>
    <w:rsid w:val="00296D5B"/>
    <w:rsid w:val="002E7AAC"/>
    <w:rsid w:val="003171E1"/>
    <w:rsid w:val="00324A7D"/>
    <w:rsid w:val="003876B8"/>
    <w:rsid w:val="003940DB"/>
    <w:rsid w:val="003D26E7"/>
    <w:rsid w:val="003E1D86"/>
    <w:rsid w:val="003E34EB"/>
    <w:rsid w:val="00407CD1"/>
    <w:rsid w:val="0042381C"/>
    <w:rsid w:val="004402BF"/>
    <w:rsid w:val="00456F66"/>
    <w:rsid w:val="00461CFF"/>
    <w:rsid w:val="004B6701"/>
    <w:rsid w:val="004C4AA8"/>
    <w:rsid w:val="00502333"/>
    <w:rsid w:val="005050E2"/>
    <w:rsid w:val="005167A4"/>
    <w:rsid w:val="00531225"/>
    <w:rsid w:val="005C5E38"/>
    <w:rsid w:val="005F0F0A"/>
    <w:rsid w:val="006666CE"/>
    <w:rsid w:val="006674D3"/>
    <w:rsid w:val="00667DD6"/>
    <w:rsid w:val="00671244"/>
    <w:rsid w:val="00694811"/>
    <w:rsid w:val="006A3A52"/>
    <w:rsid w:val="006A4471"/>
    <w:rsid w:val="006E2CC6"/>
    <w:rsid w:val="007166B8"/>
    <w:rsid w:val="007313F9"/>
    <w:rsid w:val="007649FC"/>
    <w:rsid w:val="007B28DC"/>
    <w:rsid w:val="008533A6"/>
    <w:rsid w:val="008B6645"/>
    <w:rsid w:val="008D279C"/>
    <w:rsid w:val="008D39C9"/>
    <w:rsid w:val="009A2B51"/>
    <w:rsid w:val="009C2894"/>
    <w:rsid w:val="009C3562"/>
    <w:rsid w:val="009C363A"/>
    <w:rsid w:val="009D7C9E"/>
    <w:rsid w:val="00A024BB"/>
    <w:rsid w:val="00A10474"/>
    <w:rsid w:val="00A21774"/>
    <w:rsid w:val="00A23477"/>
    <w:rsid w:val="00A62172"/>
    <w:rsid w:val="00A82300"/>
    <w:rsid w:val="00A85C77"/>
    <w:rsid w:val="00AE797E"/>
    <w:rsid w:val="00B255B0"/>
    <w:rsid w:val="00B562A5"/>
    <w:rsid w:val="00BA3755"/>
    <w:rsid w:val="00BA54AF"/>
    <w:rsid w:val="00BC22B7"/>
    <w:rsid w:val="00BC63FA"/>
    <w:rsid w:val="00C0674E"/>
    <w:rsid w:val="00C60C34"/>
    <w:rsid w:val="00C80930"/>
    <w:rsid w:val="00C94530"/>
    <w:rsid w:val="00CC6421"/>
    <w:rsid w:val="00D35291"/>
    <w:rsid w:val="00DA1A9B"/>
    <w:rsid w:val="00DA5BD2"/>
    <w:rsid w:val="00DD0DD3"/>
    <w:rsid w:val="00DE608A"/>
    <w:rsid w:val="00DF6130"/>
    <w:rsid w:val="00E06353"/>
    <w:rsid w:val="00E31F32"/>
    <w:rsid w:val="00E50CBB"/>
    <w:rsid w:val="00E925A5"/>
    <w:rsid w:val="00EC5817"/>
    <w:rsid w:val="00F33468"/>
    <w:rsid w:val="00F44169"/>
    <w:rsid w:val="00F46DCE"/>
    <w:rsid w:val="00F8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DD37E"/>
  <w15:chartTrackingRefBased/>
  <w15:docId w15:val="{8B282B99-DEA4-48AE-ADCC-3E48EF13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30"/>
  </w:style>
  <w:style w:type="paragraph" w:styleId="Heading1">
    <w:name w:val="heading 1"/>
    <w:basedOn w:val="Normal"/>
    <w:next w:val="Normal"/>
    <w:link w:val="Heading1Char"/>
    <w:uiPriority w:val="9"/>
    <w:qFormat/>
    <w:rsid w:val="00394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0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0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0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0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0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0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0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93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394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0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0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0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0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0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0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0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0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0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0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940D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3477"/>
    <w:pPr>
      <w:spacing w:before="100" w:beforeAutospacing="1" w:after="100" w:afterAutospacing="1"/>
    </w:pPr>
    <w:rPr>
      <w:rFonts w:eastAsia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8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81C"/>
  </w:style>
  <w:style w:type="paragraph" w:styleId="Footer">
    <w:name w:val="footer"/>
    <w:basedOn w:val="Normal"/>
    <w:link w:val="FooterChar"/>
    <w:uiPriority w:val="99"/>
    <w:unhideWhenUsed/>
    <w:rsid w:val="004238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81C"/>
  </w:style>
  <w:style w:type="table" w:styleId="TableGrid">
    <w:name w:val="Table Grid"/>
    <w:basedOn w:val="TableNormal"/>
    <w:uiPriority w:val="39"/>
    <w:rsid w:val="004402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Hatton</dc:creator>
  <cp:keywords/>
  <dc:description/>
  <cp:lastModifiedBy>John Lusby</cp:lastModifiedBy>
  <cp:revision>2</cp:revision>
  <cp:lastPrinted>2025-12-02T17:14:00Z</cp:lastPrinted>
  <dcterms:created xsi:type="dcterms:W3CDTF">2026-05-05T15:29:00Z</dcterms:created>
  <dcterms:modified xsi:type="dcterms:W3CDTF">2026-05-05T15:29:00Z</dcterms:modified>
</cp:coreProperties>
</file>